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26-243</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441—Chapters 226 and 227</w:t>
      </w:r>
    </w:p>
    <w:p>
      <w:pPr>
        <w:spacing w:before="0" w:after="0" w:line="480"/>
        <w:ind w:left="120"/>
        <w:jc w:val="center"/>
      </w:pPr>
      <w:r>
        <w:rPr>
          <w:rFonts w:ascii="Times New Roman" w:hAnsi="Times New Roman"/>
          <w:b w:val="false"/>
          <w:i w:val="false"/>
          <w:color w:val="000000"/>
          <w:sz w:val="24"/>
        </w:rPr>
        <w:t>“State Unit on Aging; Area Agency on Aging”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231</w:t>
      </w:r>
    </w:p>
    <w:p>
      <w:pPr>
        <w:spacing w:before="0" w:after="0" w:line="480"/>
        <w:ind w:left="120"/>
        <w:jc w:val="both"/>
      </w:pPr>
      <w:r>
        <w:rPr>
          <w:rFonts w:ascii="Times New Roman" w:hAnsi="Times New Roman"/>
          <w:b w:val="false"/>
          <w:i w:val="false"/>
          <w:color w:val="000000"/>
          <w:sz w:val="24"/>
        </w:rPr>
        <w:t>State or federal law(s) implemented by the rulemaking: Iowa Code chapter 231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Passcode: ya9va9uv</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makes clarifying updates to two chapters under the purview of the Department’s Division of Aging and Disability Services.</w:t>
      </w:r>
    </w:p>
    <w:p>
      <w:pPr>
        <w:spacing w:before="0" w:after="0" w:line="480"/>
        <w:ind w:left="120"/>
        <w:jc w:val="both"/>
      </w:pPr>
      <w:r>
        <w:rPr>
          <w:rFonts w:ascii="Times New Roman" w:hAnsi="Times New Roman"/>
          <w:b w:val="false"/>
          <w:i w:val="false"/>
          <w:color w:val="000000"/>
          <w:sz w:val="24"/>
        </w:rPr>
        <w:t>    Proposed amendments to Chapter 226 create two distinct pathways for approval of amendments to the State Plan on Aging. Current rules for amendments to the State Plan require a public hearing, review by the Council on Health and Human Services, the Governor’s signature, and submission to the federal Administration on Aging 45 days before the desired effective date.  45 CFR 1321.31 sets forth that there are two types of State Plan Amendments—those requiring prior approval and those requiring notification to the Assistant Secretary for Aging only. The proposed amendments to Chapter 226 align with federal law by specifically enumerating the two distinct processes.</w:t>
      </w:r>
    </w:p>
    <w:p>
      <w:pPr>
        <w:spacing w:before="0" w:after="0" w:line="480"/>
        <w:ind w:left="120"/>
        <w:jc w:val="both"/>
      </w:pPr>
      <w:r>
        <w:rPr>
          <w:rFonts w:ascii="Times New Roman" w:hAnsi="Times New Roman"/>
          <w:b w:val="false"/>
          <w:i w:val="false"/>
          <w:color w:val="000000"/>
          <w:sz w:val="24"/>
        </w:rPr>
        <w:t>    Similarly, proposed amendments to Chapter 227 remove the requirement that Area Agencies on Aging (AAAs) seek and receive approval from the Department on contracts that are operational in nature, for example, a contract for snow removal services. 45 CFR Part 1321 and guidance from the federal Administration for Community Living both indicate that such contracts do not require prior approval from the Department.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AAAs and the people they serve will benefit from the clarifications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currently six AAAs serving Iowans.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AAAs and the people they serve will benefit from the clarifications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in association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appropriate to align with federal standards and requirements.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Rulemaking is appropriate to align with federal standards and requirements.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441—226.4(231)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441—226.4</w:t>
      </w:r>
      <w:r>
        <w:rPr>
          <w:rFonts w:ascii="Times New Roman" w:hAnsi="Times New Roman"/>
          <w:b/>
          <w:i w:val="false"/>
          <w:color w:val="000000"/>
          <w:sz w:val="24"/>
        </w:rPr>
        <w:t xml:space="preserve">(231) </w:t>
      </w:r>
      <w:r>
        <w:rPr>
          <w:rFonts w:ascii="Times New Roman" w:hAnsi="Times New Roman"/>
          <w:b/>
          <w:i w:val="false"/>
          <w:color w:val="000000"/>
          <w:sz w:val="24"/>
        </w:rPr>
        <w:t xml:space="preserve">State plan on aging.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226.4(1)</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As the state unit on aging, the department will develop and administer a state plan on aging </w:t>
      </w:r>
      <w:r>
        <w:rPr>
          <w:rFonts w:ascii="Times New Roman" w:hAnsi="Times New Roman"/>
          <w:b w:val="false"/>
          <w:i w:val="false"/>
          <w:strike/>
          <w:color w:val="000000"/>
          <w:sz w:val="24"/>
        </w:rPr>
        <w:t>or state plan amendment pursuant to the federal Act.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any state plan amendments made pursuant to the federal Act; </w:t>
      </w:r>
      <w:r>
        <w:rPr>
          <w:rFonts w:ascii="Times New Roman" w:hAnsi="Times New Roman"/>
          <w:b w:val="false"/>
          <w:i w:val="false"/>
          <w:color w:val="000000"/>
          <w:sz w:val="24"/>
          <w:u w:val="single"/>
        </w:rPr>
        <w:t>45 CFR Parts 1321</w:t>
      </w:r>
      <w:r>
        <w:rPr>
          <w:rFonts w:ascii="Times New Roman" w:hAnsi="Times New Roman"/>
          <w:b w:val="false"/>
          <w:i w:val="false"/>
          <w:color w:val="000000"/>
          <w:sz w:val="24"/>
          <w:u w:val="single"/>
        </w:rPr>
        <w:t xml:space="preserve"> and </w:t>
      </w:r>
      <w:r>
        <w:rPr>
          <w:rFonts w:ascii="Times New Roman" w:hAnsi="Times New Roman"/>
          <w:b w:val="false"/>
          <w:i w:val="false"/>
          <w:color w:val="000000"/>
          <w:sz w:val="24"/>
          <w:u w:val="single"/>
        </w:rPr>
        <w:t>1324</w:t>
      </w:r>
      <w:r>
        <w:rPr>
          <w:rFonts w:ascii="Times New Roman" w:hAnsi="Times New Roman"/>
          <w:b w:val="false"/>
          <w:i w:val="false"/>
          <w:color w:val="000000"/>
          <w:sz w:val="24"/>
          <w:u w:val="single"/>
        </w:rPr>
        <w:t xml:space="preserve"> as amended to October 1, 2025; and Iowa Code chapter </w:t>
      </w:r>
      <w:hyperlink r:id="rId5">
        <w:r>
          <w:rPr>
            <w:rStyle w:val="Hyperlink"/>
            <w:rFonts w:ascii="Times New Roman" w:hAnsi="Times New Roman"/>
            <w:b w:val="false"/>
            <w:i w:val="false"/>
            <w:color w:val="000000"/>
            <w:sz w:val="24"/>
            <w:u w:val="single"/>
          </w:rPr>
          <w:t>231</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226.4(2)</w:t>
      </w:r>
      <w:r>
        <w:rPr>
          <w:rFonts w:ascii="Times New Roman" w:hAnsi="Times New Roman"/>
          <w:b w:val="false"/>
          <w:i w:val="false"/>
          <w:color w:val="000000"/>
          <w:sz w:val="24"/>
        </w:rPr>
        <w:t> </w:t>
      </w:r>
      <w:r>
        <w:rPr>
          <w:rFonts w:ascii="Times New Roman" w:hAnsi="Times New Roman"/>
          <w:b w:val="false"/>
          <w:i/>
          <w:color w:val="000000"/>
          <w:sz w:val="24"/>
        </w:rPr>
        <w:t xml:space="preserve">Multiyear state plan on aging. </w:t>
      </w:r>
      <w:r>
        <w:rPr>
          <w:rFonts w:ascii="Times New Roman" w:hAnsi="Times New Roman"/>
          <w:b w:val="false"/>
          <w:i w:val="false"/>
          <w:color w:val="000000"/>
          <w:sz w:val="24"/>
        </w:rPr>
        <w:t xml:space="preserve">The department will develop and submit for approval a two-, three-, or four-year state plan on aging in compliance with the federal Act; </w:t>
      </w:r>
      <w:r>
        <w:rPr>
          <w:rFonts w:ascii="Times New Roman" w:hAnsi="Times New Roman"/>
          <w:b w:val="false"/>
          <w:i w:val="false"/>
          <w:color w:val="000000"/>
          <w:sz w:val="24"/>
        </w:rPr>
        <w:t>45 CFR 1321</w:t>
      </w:r>
      <w:r>
        <w:rPr>
          <w:rFonts w:ascii="Times New Roman" w:hAnsi="Times New Roman"/>
          <w:b w:val="false"/>
          <w:i w:val="false"/>
          <w:color w:val="000000"/>
          <w:sz w:val="24"/>
        </w:rPr>
        <w:t xml:space="preserve"> and </w:t>
      </w:r>
      <w:r>
        <w:rPr>
          <w:rFonts w:ascii="Times New Roman" w:hAnsi="Times New Roman"/>
          <w:b w:val="false"/>
          <w:i w:val="false"/>
          <w:color w:val="000000"/>
          <w:sz w:val="24"/>
        </w:rPr>
        <w:t>1324</w:t>
      </w:r>
      <w:r>
        <w:rPr>
          <w:rFonts w:ascii="Times New Roman" w:hAnsi="Times New Roman"/>
          <w:b w:val="false"/>
          <w:i w:val="false"/>
          <w:color w:val="000000"/>
          <w:sz w:val="24"/>
        </w:rPr>
        <w:t xml:space="preserve"> as amended to October 1, 2025; Iowa Code chapter </w:t>
      </w:r>
      <w:hyperlink r:id="rId6">
        <w:r>
          <w:rPr>
            <w:rStyle w:val="Hyperlink"/>
            <w:rFonts w:ascii="Times New Roman" w:hAnsi="Times New Roman"/>
            <w:b w:val="false"/>
            <w:i w:val="false"/>
            <w:color w:val="000000"/>
            <w:sz w:val="24"/>
          </w:rPr>
          <w:t>231</w:t>
        </w:r>
      </w:hyperlink>
      <w:r>
        <w:rPr>
          <w:rFonts w:ascii="Times New Roman" w:hAnsi="Times New Roman"/>
          <w:b w:val="false"/>
          <w:i w:val="false"/>
          <w:color w:val="000000"/>
          <w:sz w:val="24"/>
        </w:rPr>
        <w:t>; and the procedures</w:t>
      </w:r>
      <w:r>
        <w:rPr>
          <w:rFonts w:ascii="Times New Roman" w:hAnsi="Times New Roman"/>
          <w:b w:val="false"/>
          <w:i w:val="false"/>
          <w:color w:val="000000"/>
          <w:sz w:val="24"/>
          <w:u w:val="single"/>
        </w:rPr>
        <w: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and associated</w:t>
      </w:r>
      <w:r>
        <w:rPr>
          <w:rFonts w:ascii="Times New Roman" w:hAnsi="Times New Roman"/>
          <w:b w:val="false"/>
          <w:i w:val="false"/>
          <w:color w:val="000000"/>
          <w:sz w:val="24"/>
        </w:rPr>
        <w:t xml:space="preserve"> instructions,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w:t>
      </w:r>
      <w:r>
        <w:rPr>
          <w:rFonts w:ascii="Times New Roman" w:hAnsi="Times New Roman"/>
          <w:b w:val="false"/>
          <w:i w:val="false"/>
          <w:color w:val="000000"/>
          <w:sz w:val="24"/>
        </w:rPr>
        <w:t xml:space="preserve"> guidance</w:t>
      </w:r>
      <w:r>
        <w:rPr>
          <w:rFonts w:ascii="Times New Roman" w:hAnsi="Times New Roman"/>
          <w:b w:val="false"/>
          <w:i w:val="false"/>
          <w:strike/>
          <w:color w:val="000000"/>
          <w:sz w:val="24"/>
        </w:rPr>
        <w:t>, and direction specified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w:t>
      </w:r>
      <w:r>
        <w:rPr>
          <w:rFonts w:ascii="Times New Roman" w:hAnsi="Times New Roman"/>
          <w:b w:val="false"/>
          <w:i w:val="false"/>
          <w:color w:val="000000"/>
          <w:sz w:val="24"/>
        </w:rPr>
        <w:t xml:space="preserve"> by the federal Administration on Aging.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226.4(3)</w:t>
      </w:r>
      <w:r>
        <w:rPr>
          <w:rFonts w:ascii="Times New Roman" w:hAnsi="Times New Roman"/>
          <w:b w:val="false"/>
          <w:i w:val="false"/>
          <w:color w:val="000000"/>
          <w:sz w:val="24"/>
        </w:rPr>
        <w:t> </w:t>
      </w:r>
      <w:r>
        <w:rPr>
          <w:rFonts w:ascii="Times New Roman" w:hAnsi="Times New Roman"/>
          <w:b w:val="false"/>
          <w:i/>
          <w:color w:val="000000"/>
          <w:sz w:val="24"/>
        </w:rPr>
        <w:t xml:space="preserve">State plan amendment. </w:t>
      </w:r>
      <w:r>
        <w:rPr>
          <w:rFonts w:ascii="Times New Roman" w:hAnsi="Times New Roman"/>
          <w:b w:val="false"/>
          <w:i w:val="false"/>
          <w:color w:val="000000"/>
          <w:sz w:val="24"/>
        </w:rPr>
        <w:t xml:space="preserve">The department may, in its discretion, develop and submit to the federal Administration on Aging </w:t>
      </w:r>
      <w:r>
        <w:rPr>
          <w:rFonts w:ascii="Times New Roman" w:hAnsi="Times New Roman"/>
          <w:b w:val="false"/>
          <w:i w:val="false"/>
          <w:strike/>
          <w:color w:val="000000"/>
          <w:sz w:val="24"/>
        </w:rPr>
        <w:t>for consideration</w:t>
      </w:r>
      <w:r>
        <w:rPr>
          <w:rFonts w:ascii="Times New Roman" w:hAnsi="Times New Roman"/>
          <w:b w:val="false"/>
          <w:i w:val="false"/>
          <w:color w:val="000000"/>
          <w:sz w:val="24"/>
        </w:rPr>
        <w:t xml:space="preserve"> an amendment to the state plan on aging at any time.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Each amendment will be processed pursuant to </w:t>
      </w:r>
      <w:r>
        <w:rPr>
          <w:rFonts w:ascii="Times New Roman" w:hAnsi="Times New Roman"/>
          <w:b w:val="false"/>
          <w:i w:val="false"/>
          <w:color w:val="000000"/>
          <w:sz w:val="24"/>
          <w:u w:val="single"/>
        </w:rPr>
        <w:t>45 CFR 1321.31</w:t>
      </w:r>
      <w:r>
        <w:rPr>
          <w:rFonts w:ascii="Times New Roman" w:hAnsi="Times New Roman"/>
          <w:b w:val="false"/>
          <w:i w:val="false"/>
          <w:color w:val="000000"/>
          <w:sz w:val="24"/>
          <w:u w:val="single"/>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Amendments requiring approval by the Assistant Secretary for Aging must follow the process outlined in subrule </w:t>
      </w:r>
      <w:hyperlink r:id="rId7">
        <w:r>
          <w:rPr>
            <w:rStyle w:val="Hyperlink"/>
            <w:rFonts w:ascii="Times New Roman" w:hAnsi="Times New Roman"/>
            <w:b w:val="false"/>
            <w:i w:val="false"/>
            <w:color w:val="000000"/>
            <w:sz w:val="24"/>
            <w:u w:val="single"/>
          </w:rPr>
          <w:t>226.4(4)</w:t>
        </w:r>
      </w:hyperlink>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Amendments requiring notice only are not subject to subrule </w:t>
      </w:r>
      <w:hyperlink r:id="rId8">
        <w:r>
          <w:rPr>
            <w:rStyle w:val="Hyperlink"/>
            <w:rFonts w:ascii="Times New Roman" w:hAnsi="Times New Roman"/>
            <w:b w:val="false"/>
            <w:i w:val="false"/>
            <w:color w:val="000000"/>
            <w:sz w:val="24"/>
            <w:u w:val="single"/>
          </w:rPr>
          <w:t>226.4(4)</w:t>
        </w:r>
      </w:hyperlink>
      <w:r>
        <w:rPr>
          <w:rFonts w:ascii="Times New Roman" w:hAnsi="Times New Roman"/>
          <w:b w:val="false"/>
          <w:i w:val="false"/>
          <w:color w:val="000000"/>
          <w:sz w:val="24"/>
          <w:u w:val="single"/>
        </w:rPr>
        <w:t xml:space="preserve"> unless otherwise required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226.4(4)</w:t>
      </w:r>
      <w:r>
        <w:rPr>
          <w:rFonts w:ascii="Times New Roman" w:hAnsi="Times New Roman"/>
          <w:b w:val="false"/>
          <w:i w:val="false"/>
          <w:color w:val="000000"/>
          <w:sz w:val="24"/>
        </w:rPr>
        <w:t> </w:t>
      </w:r>
      <w:r>
        <w:rPr>
          <w:rFonts w:ascii="Times New Roman" w:hAnsi="Times New Roman"/>
          <w:b w:val="false"/>
          <w:i/>
          <w:color w:val="000000"/>
          <w:sz w:val="24"/>
        </w:rPr>
        <w:t>State plan on aging and state plan amendment</w:t>
      </w:r>
      <w:r>
        <w:rPr>
          <w:rFonts w:ascii="Times New Roman" w:hAnsi="Times New Roman"/>
          <w:b w:val="false"/>
          <w:i/>
          <w:color w:val="000000"/>
          <w:sz w:val="24"/>
          <w:u w:val="single"/>
        </w:rPr>
        <w:t> </w:t>
      </w:r>
      <w:r>
        <w:rPr>
          <w:rFonts w:ascii="Times New Roman" w:hAnsi="Times New Roman"/>
          <w:b w:val="false"/>
          <w:i/>
          <w:color w:val="000000"/>
          <w:sz w:val="24"/>
          <w:u w:val="single"/>
        </w:rPr>
        <w:t>requiring approval</w:t>
      </w:r>
      <w:r>
        <w:rPr>
          <w:rFonts w:ascii="Times New Roman" w:hAnsi="Times New Roman"/>
          <w:b w:val="false"/>
          <w:i/>
          <w:color w:val="000000"/>
          <w:sz w:val="24"/>
        </w:rPr>
        <w:t xml:space="preserve"> review process. </w:t>
      </w:r>
      <w:r>
        <w:rPr>
          <w:rFonts w:ascii="Times New Roman" w:hAnsi="Times New Roman"/>
          <w:b w:val="false"/>
          <w:i w:val="false"/>
          <w:color w:val="000000"/>
          <w:sz w:val="24"/>
        </w:rPr>
        <w:t>Once the department develops the state plan on aging or state plan amendment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requiring prior approval</w:t>
      </w:r>
      <w:r>
        <w:rPr>
          <w:rFonts w:ascii="Times New Roman" w:hAnsi="Times New Roman"/>
          <w:b w:val="false"/>
          <w:i w:val="false"/>
          <w:color w:val="000000"/>
          <w:sz w:val="24"/>
        </w:rPr>
        <w:t>, the department will comply with the following chronological review and comment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226.4(5)</w:t>
      </w:r>
      <w:r>
        <w:rPr>
          <w:rFonts w:ascii="Times New Roman" w:hAnsi="Times New Roman"/>
          <w:b w:val="false"/>
          <w:i w:val="false"/>
          <w:color w:val="000000"/>
          <w:sz w:val="24"/>
        </w:rPr>
        <w:t xml:space="preserve"> and </w:t>
      </w:r>
      <w:r>
        <w:rPr>
          <w:rFonts w:ascii="Times New Roman" w:hAnsi="Times New Roman"/>
          <w:b/>
          <w:i w:val="false"/>
          <w:color w:val="000000"/>
          <w:sz w:val="24"/>
        </w:rPr>
        <w:t>226.4(6)</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227.10(2)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227.10(2)</w:t>
      </w:r>
      <w:r>
        <w:rPr>
          <w:rFonts w:ascii="Times New Roman" w:hAnsi="Times New Roman"/>
          <w:b w:val="false"/>
          <w:i w:val="false"/>
          <w:color w:val="000000"/>
          <w:sz w:val="24"/>
        </w:rPr>
        <w:t> </w:t>
      </w:r>
      <w:r>
        <w:rPr>
          <w:rFonts w:ascii="Times New Roman" w:hAnsi="Times New Roman"/>
          <w:b w:val="false"/>
          <w:i/>
          <w:color w:val="000000"/>
          <w:sz w:val="24"/>
        </w:rPr>
        <w:t xml:space="preserve">Contracts and commercial relationships. </w:t>
      </w:r>
      <w:r>
        <w:rPr>
          <w:rFonts w:ascii="Times New Roman" w:hAnsi="Times New Roman"/>
          <w:b w:val="false"/>
          <w:i w:val="false"/>
          <w:color w:val="000000"/>
          <w:sz w:val="24"/>
        </w:rPr>
        <w:t xml:space="preserve">A contract or agreement between an area agency on aging and an outside entity will not restrict the area agency on aging from contracting with other entities that provide similar services. All contracts and commercial relationships must avoid conflicts of interest as detailed in rule </w:t>
      </w:r>
      <w:hyperlink r:id="rId9">
        <w:r>
          <w:rPr>
            <w:rStyle w:val="Hyperlink"/>
            <w:rFonts w:ascii="Times New Roman" w:hAnsi="Times New Roman"/>
            <w:b w:val="false"/>
            <w:i w:val="false"/>
            <w:color w:val="000000"/>
            <w:sz w:val="24"/>
          </w:rPr>
          <w:t>441—225.3</w:t>
        </w:r>
      </w:hyperlink>
      <w:r>
        <w:rPr>
          <w:rFonts w:ascii="Times New Roman" w:hAnsi="Times New Roman"/>
          <w:b w:val="false"/>
          <w:i w:val="false"/>
          <w:color w:val="000000"/>
          <w:sz w:val="24"/>
        </w:rPr>
        <w:t>(231).</w:t>
      </w:r>
    </w:p>
    <w:p>
      <w:pPr>
        <w:spacing w:before="0" w:after="0" w:line="480"/>
        <w:ind w:left="120"/>
        <w:jc w:val="both"/>
      </w:pPr>
      <w:r>
        <w:rPr>
          <w:rFonts w:ascii="Times New Roman" w:hAnsi="Times New Roman"/>
          <w:b w:val="false"/>
          <w:i w:val="false"/>
          <w:color w:val="000000"/>
          <w:sz w:val="24"/>
          <w:u w:val="single"/>
        </w:rPr>
        <w:t xml:space="preserve">Notwithstanding the foregoing, </w:t>
      </w:r>
      <w:r>
        <w:rPr>
          <w:rFonts w:ascii="Times New Roman" w:hAnsi="Times New Roman"/>
          <w:b w:val="false"/>
          <w:i w:val="false"/>
          <w:color w:val="000000"/>
          <w:sz w:val="24"/>
          <w:u w:val="single"/>
        </w:rPr>
        <w:t>45 CFR Part 1321</w:t>
      </w:r>
      <w:r>
        <w:rPr>
          <w:rFonts w:ascii="Times New Roman" w:hAnsi="Times New Roman"/>
          <w:b w:val="false"/>
          <w:i w:val="false"/>
          <w:color w:val="000000"/>
          <w:sz w:val="24"/>
          <w:u w:val="single"/>
        </w:rPr>
        <w:t xml:space="preserve"> as amended to October 1, 2025, and guidance from the federal Administration for Community Living govern operational and maintenance contracts. Such contracts do not require per-event state unit on aging approval beyond area plan budgeting. Each area agency on aging will maintain a file of all current contracts and contracts up to three years. These files will be made available for monitoring and assessment by the department. For the purposes of this subrule, “operational and maintenance contracts” are contracts with for-profit vendors for items including but not limited to building maintenance; heating, ventilation, and air conditioning (HVAC); information technology (IT) support; fleet repair; janitorial services; and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Each area agency on aging will maintain a file of all current contracts and contracts up to three years. These files will be made available for monitoring and assessment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Each area agency on aging must request prior approval from the department 30 days prior to signing the contract for any proposed service contracts with for-profit organizations.</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1.pdf" Type="http://schemas.openxmlformats.org/officeDocument/2006/relationships/hyperlink" Id="rId5"/>
    <Relationship TargetMode="External" Target="https://www.legis.iowa.gov/docs/ico/chapter/231.pdf" Type="http://schemas.openxmlformats.org/officeDocument/2006/relationships/hyperlink" Id="rId6"/>
    <Relationship TargetMode="External" Target="https://www.legis.iowa.gov/docs/iac/rule/441.226.4.pdf" Type="http://schemas.openxmlformats.org/officeDocument/2006/relationships/hyperlink" Id="rId7"/>
    <Relationship TargetMode="External" Target="https://www.legis.iowa.gov/docs/iac/rule/441.226.4.pdf" Type="http://schemas.openxmlformats.org/officeDocument/2006/relationships/hyperlink" Id="rId8"/>
    <Relationship TargetMode="External" Target="https://www.legis.iowa.gov/docs/iac/rule/441.225.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